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FB120" w14:textId="77777777" w:rsidR="00733B44" w:rsidRDefault="00733B44" w:rsidP="00733B44">
      <w:pPr>
        <w:pStyle w:val="Geenafstand"/>
      </w:pPr>
    </w:p>
    <w:p w14:paraId="49612EE9" w14:textId="2E8C1D8D" w:rsidR="00733B44" w:rsidRDefault="00733B44" w:rsidP="00733B44">
      <w:pPr>
        <w:spacing w:after="0" w:line="240" w:lineRule="auto"/>
        <w:rPr>
          <w:rFonts w:ascii="Arial" w:eastAsia="Calibri" w:hAnsi="Arial" w:cs="Arial"/>
          <w:b/>
          <w:color w:val="000000"/>
          <w:kern w:val="0"/>
          <w:sz w:val="32"/>
          <w:szCs w:val="32"/>
          <w:u w:val="single"/>
          <w:shd w:val="clear" w:color="auto" w:fill="FFFFFF"/>
          <w14:ligatures w14:val="none"/>
        </w:rPr>
      </w:pPr>
      <w:r>
        <w:rPr>
          <w:rFonts w:ascii="Arial" w:eastAsia="Calibri" w:hAnsi="Arial" w:cs="Arial"/>
          <w:b/>
          <w:color w:val="000000"/>
          <w:kern w:val="0"/>
          <w:sz w:val="32"/>
          <w:szCs w:val="32"/>
          <w:u w:val="single"/>
          <w:shd w:val="clear" w:color="auto" w:fill="FFFFFF"/>
          <w14:ligatures w14:val="none"/>
        </w:rPr>
        <w:t>Wolff en Deken-Toegift</w:t>
      </w:r>
    </w:p>
    <w:p w14:paraId="30517E62" w14:textId="21BEEF5E" w:rsidR="00733B44" w:rsidRDefault="00733B44" w:rsidP="00733B44">
      <w:pPr>
        <w:pStyle w:val="Geenafstand"/>
        <w:rPr>
          <w:rFonts w:ascii="Arial" w:eastAsia="Calibri" w:hAnsi="Arial" w:cs="Arial"/>
          <w:kern w:val="0"/>
          <w:sz w:val="20"/>
          <w:szCs w:val="20"/>
          <w14:ligatures w14:val="none"/>
        </w:rPr>
      </w:pPr>
      <w:r w:rsidRPr="009320E8">
        <w:rPr>
          <w:rFonts w:ascii="Arial" w:eastAsia="Calibri" w:hAnsi="Arial" w:cs="Arial"/>
          <w:kern w:val="0"/>
          <w:sz w:val="20"/>
          <w:szCs w:val="20"/>
          <w14:ligatures w14:val="none"/>
        </w:rPr>
        <w:t>Week</w:t>
      </w:r>
      <w:r>
        <w:rPr>
          <w:rFonts w:ascii="Arial" w:eastAsia="Calibri" w:hAnsi="Arial" w:cs="Arial"/>
          <w:kern w:val="0"/>
          <w:sz w:val="20"/>
          <w:szCs w:val="20"/>
          <w14:ligatures w14:val="none"/>
        </w:rPr>
        <w:t xml:space="preserve"> 3</w:t>
      </w:r>
      <w:r>
        <w:rPr>
          <w:rFonts w:ascii="Arial" w:eastAsia="Calibri" w:hAnsi="Arial" w:cs="Arial"/>
          <w:kern w:val="0"/>
          <w:sz w:val="20"/>
          <w:szCs w:val="20"/>
          <w14:ligatures w14:val="none"/>
        </w:rPr>
        <w:t>5</w:t>
      </w:r>
      <w:r w:rsidRPr="009320E8">
        <w:rPr>
          <w:rFonts w:ascii="Arial" w:eastAsia="Calibri" w:hAnsi="Arial" w:cs="Arial"/>
          <w:kern w:val="0"/>
          <w:sz w:val="20"/>
          <w:szCs w:val="20"/>
          <w14:ligatures w14:val="none"/>
        </w:rPr>
        <w:t>- 2025</w:t>
      </w:r>
    </w:p>
    <w:p w14:paraId="197EABCE" w14:textId="77777777" w:rsidR="00733B44" w:rsidRDefault="00733B44" w:rsidP="00733B44">
      <w:pPr>
        <w:pStyle w:val="Geenafstand"/>
      </w:pPr>
    </w:p>
    <w:p w14:paraId="1134C5C1" w14:textId="77777777" w:rsidR="00733B44" w:rsidRDefault="00733B44" w:rsidP="00733B44">
      <w:pPr>
        <w:pStyle w:val="Geenafstand"/>
      </w:pPr>
    </w:p>
    <w:p w14:paraId="182974A3" w14:textId="6CC4F226" w:rsidR="00733B44" w:rsidRDefault="00733B44" w:rsidP="00733B44">
      <w:pPr>
        <w:pStyle w:val="Geenafstand"/>
      </w:pPr>
      <w:r>
        <w:rPr>
          <w:noProof/>
        </w:rPr>
        <w:drawing>
          <wp:inline distT="0" distB="0" distL="0" distR="0" wp14:anchorId="493F52B1" wp14:editId="73744B09">
            <wp:extent cx="4315460" cy="5354781"/>
            <wp:effectExtent l="0" t="0" r="8890" b="0"/>
            <wp:docPr id="665622483" name="Afbeelding 1" descr="Afbeelding met tekst, papier, brief,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2483" name="Afbeelding 1" descr="Afbeelding met tekst, papier, brief, Lettertype&#10;&#10;Door AI gegenereerde inhoud is mogelijk onjui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0111" cy="5372961"/>
                    </a:xfrm>
                    <a:prstGeom prst="rect">
                      <a:avLst/>
                    </a:prstGeom>
                    <a:noFill/>
                    <a:ln>
                      <a:noFill/>
                    </a:ln>
                  </pic:spPr>
                </pic:pic>
              </a:graphicData>
            </a:graphic>
          </wp:inline>
        </w:drawing>
      </w:r>
    </w:p>
    <w:p w14:paraId="19BC4A2A" w14:textId="77777777" w:rsidR="00733B44" w:rsidRDefault="00733B44" w:rsidP="00733B44">
      <w:pPr>
        <w:pStyle w:val="Geenafstand"/>
      </w:pPr>
    </w:p>
    <w:p w14:paraId="33043DE6" w14:textId="77777777" w:rsidR="00733B44" w:rsidRDefault="00733B44" w:rsidP="00733B44">
      <w:pPr>
        <w:pStyle w:val="Geenafstand"/>
      </w:pPr>
    </w:p>
    <w:p w14:paraId="2FEF318F" w14:textId="77777777" w:rsidR="00733B44" w:rsidRDefault="00733B44" w:rsidP="00733B44">
      <w:pPr>
        <w:pStyle w:val="Geenafstand"/>
      </w:pPr>
    </w:p>
    <w:p w14:paraId="34936676" w14:textId="44C7615E" w:rsidR="00733B44" w:rsidRDefault="00733B44" w:rsidP="00733B44">
      <w:pPr>
        <w:pStyle w:val="Geenafstand"/>
      </w:pPr>
      <w:r>
        <w:t xml:space="preserve">Deze week een gedicht van de bekendste schrijvers uit de achttiende eeuw. Betje </w:t>
      </w:r>
      <w:r w:rsidRPr="003C0D1D">
        <w:t xml:space="preserve">Wolff (1738-1804) en </w:t>
      </w:r>
      <w:r>
        <w:t xml:space="preserve">Aagje </w:t>
      </w:r>
      <w:r w:rsidRPr="003C0D1D">
        <w:t>Deken (1741-1804)</w:t>
      </w:r>
      <w:r>
        <w:t xml:space="preserve"> werden vooral bekend door hun roman in brieven “</w:t>
      </w:r>
      <w:r w:rsidRPr="00E07D9C">
        <w:t>De historie van mejuffrouw Sara Burgerhart</w:t>
      </w:r>
      <w:r>
        <w:t>” uit 1782. De brievenroman was in deze tijd populair</w:t>
      </w:r>
      <w:r>
        <w:rPr>
          <w:rStyle w:val="Voetnootmarkering"/>
        </w:rPr>
        <w:footnoteReference w:id="1"/>
      </w:r>
      <w:r>
        <w:t>. Ook later werd het genre beoefend</w:t>
      </w:r>
      <w:r>
        <w:rPr>
          <w:rStyle w:val="Voetnootmarkering"/>
        </w:rPr>
        <w:footnoteReference w:id="2"/>
      </w:r>
      <w:r>
        <w:t xml:space="preserve">. </w:t>
      </w:r>
    </w:p>
    <w:p w14:paraId="15CE7AE9" w14:textId="77777777" w:rsidR="00733B44" w:rsidRDefault="00733B44" w:rsidP="00733B44">
      <w:pPr>
        <w:pStyle w:val="Geenafstand"/>
      </w:pPr>
      <w:r>
        <w:t>Na hun eerste roman volgde “</w:t>
      </w:r>
      <w:r w:rsidRPr="003C0D1D">
        <w:t xml:space="preserve">Historie van den heer Willem </w:t>
      </w:r>
      <w:proofErr w:type="spellStart"/>
      <w:r w:rsidRPr="003C0D1D">
        <w:t>Leevend</w:t>
      </w:r>
      <w:proofErr w:type="spellEnd"/>
      <w:r>
        <w:t>”</w:t>
      </w:r>
      <w:r w:rsidRPr="003C0D1D">
        <w:t xml:space="preserve"> (1784-1785)</w:t>
      </w:r>
      <w:r>
        <w:t xml:space="preserve"> waaraan het gedicht is ontleend</w:t>
      </w:r>
      <w:r w:rsidRPr="003C0D1D">
        <w:t>.</w:t>
      </w:r>
    </w:p>
    <w:p w14:paraId="2D4DFF68" w14:textId="77777777" w:rsidR="00733B44" w:rsidRDefault="00733B44" w:rsidP="00733B44">
      <w:pPr>
        <w:pStyle w:val="Geenafstand"/>
      </w:pPr>
      <w:r>
        <w:lastRenderedPageBreak/>
        <w:t xml:space="preserve">Deze roman beschrijft de lotgevallen van een aantal jonge mensen waarvan de hoofdpersoon  Willem </w:t>
      </w:r>
      <w:proofErr w:type="spellStart"/>
      <w:r>
        <w:t>Leevend</w:t>
      </w:r>
      <w:proofErr w:type="spellEnd"/>
      <w:r>
        <w:t xml:space="preserve"> is. Verschillende liefdesperikelen, van Willem en van zijn familie en vrienden worden beschreven. Daarnaast komt ook de strijd tussen ongeloof en christendom aan de orde. Het laatste overwint de filosofie</w:t>
      </w:r>
      <w:r>
        <w:rPr>
          <w:rStyle w:val="Voetnootmarkering"/>
        </w:rPr>
        <w:footnoteReference w:id="3"/>
      </w:r>
      <w:r>
        <w:t xml:space="preserve"> en het boek eindigt met een soort van “happy end”: gelukkige huwelijken en terugkeer van Willem van </w:t>
      </w:r>
      <w:proofErr w:type="spellStart"/>
      <w:r>
        <w:t>zwerven,losbandigheid</w:t>
      </w:r>
      <w:proofErr w:type="spellEnd"/>
      <w:r>
        <w:t xml:space="preserve"> en ongeloof. </w:t>
      </w:r>
    </w:p>
    <w:p w14:paraId="244C0C8E" w14:textId="77777777" w:rsidR="00733B44" w:rsidRDefault="00733B44" w:rsidP="00733B44">
      <w:pPr>
        <w:pStyle w:val="Geenafstand"/>
      </w:pPr>
      <w:r>
        <w:t xml:space="preserve">Het boek kan gezien worden als een pleidooi voor de redelijke liefde zonder de hartstochten en verliefdheden, maar met gelijkwaardigheid van man en vrouw. Het eerste past zeker in die tijd, maar niet in de onze, het tweede was voor de achttiende eeuw bijzonder, voor ons, op papier althans, een vanzelfsprekendheid. Al met al stonden </w:t>
      </w:r>
      <w:r w:rsidRPr="00213ADA">
        <w:t>Wolff en Deken</w:t>
      </w:r>
      <w:r>
        <w:t xml:space="preserve"> weliswaar in het christelijk kamp, maar hielden zij door hun leven, geschriften en activiteiten een daadwerkelijk pleidooi  voor verdraagzaamheid en tegen vrouwenonderdrukking</w:t>
      </w:r>
      <w:r>
        <w:rPr>
          <w:rStyle w:val="Voetnootmarkering"/>
        </w:rPr>
        <w:footnoteReference w:id="4"/>
      </w:r>
      <w:r>
        <w:t>.</w:t>
      </w:r>
    </w:p>
    <w:p w14:paraId="148A59E9" w14:textId="77777777" w:rsidR="00733B44" w:rsidRDefault="00733B44" w:rsidP="00733B44">
      <w:pPr>
        <w:pStyle w:val="Geenafstand"/>
      </w:pPr>
      <w:r>
        <w:t>Het nu geplaatste gedicht staat in het derde deel van het boek als aanhangsel van “Huwelijks -</w:t>
      </w:r>
      <w:proofErr w:type="spellStart"/>
      <w:r>
        <w:t>Bruilofts-Gedicht</w:t>
      </w:r>
      <w:proofErr w:type="spellEnd"/>
      <w:r>
        <w:t xml:space="preserve">” geschreven  voor de bruiloft van Alida </w:t>
      </w:r>
      <w:proofErr w:type="spellStart"/>
      <w:r>
        <w:t>Leevend</w:t>
      </w:r>
      <w:proofErr w:type="spellEnd"/>
      <w:r>
        <w:t xml:space="preserve">, de zus van Willem. Het geheel is een lofzang op het huwelijk. </w:t>
      </w:r>
    </w:p>
    <w:p w14:paraId="1AA80D93" w14:textId="77777777" w:rsidR="00733B44" w:rsidRDefault="00733B44" w:rsidP="00733B44">
      <w:pPr>
        <w:pStyle w:val="Geenafstand"/>
      </w:pPr>
      <w:r>
        <w:t>In de hier geplaatste “Toegift” (gegeven “Uit Gunst”, dat wil zeggen onverplicht, uit vriendelijkheid) wordt in de twee eerste strofen de vrouw toegesproken deugdzaam te zijn, in de twee laatste de man gemaand de vrouw trouw te zijn en te helpen.</w:t>
      </w:r>
    </w:p>
    <w:p w14:paraId="3C1D7048" w14:textId="77777777" w:rsidR="00733B44" w:rsidRDefault="00733B44" w:rsidP="00733B44">
      <w:pPr>
        <w:pStyle w:val="Geenafstand"/>
      </w:pPr>
      <w:r>
        <w:t xml:space="preserve">Al met al een voor de tijd typerend gedicht van twee belangrijke vrouwen uit de </w:t>
      </w:r>
      <w:proofErr w:type="spellStart"/>
      <w:r>
        <w:t>Nedelandse</w:t>
      </w:r>
      <w:proofErr w:type="spellEnd"/>
      <w:r>
        <w:t xml:space="preserve"> geschiedenis. Het is geschreven als </w:t>
      </w:r>
      <w:hyperlink r:id="rId7" w:anchor=":~:text=Oorspronkelijk%20magisch%20geladen%20dichtvorm%2C%20waarbij,een%20woord%20of%20een%20tekst." w:history="1">
        <w:r w:rsidRPr="00A0381B">
          <w:rPr>
            <w:rStyle w:val="Hyperlink"/>
          </w:rPr>
          <w:t>naamdicht</w:t>
        </w:r>
      </w:hyperlink>
      <w:r>
        <w:t xml:space="preserve"> van het echtpaar; de namen staan verticaal voor de beginregels.</w:t>
      </w:r>
    </w:p>
    <w:p w14:paraId="5069569E" w14:textId="77777777" w:rsidR="00733B44" w:rsidRDefault="00733B44" w:rsidP="00733B44">
      <w:pPr>
        <w:pStyle w:val="Geenafstand"/>
      </w:pPr>
      <w:r>
        <w:t>De tekst is ontleend aan de heruitgave van 1886.</w:t>
      </w:r>
    </w:p>
    <w:p w14:paraId="742CCAC7" w14:textId="77777777" w:rsidR="00733B44" w:rsidRDefault="00733B44" w:rsidP="00733B44">
      <w:pPr>
        <w:pStyle w:val="Geenafstand"/>
      </w:pPr>
    </w:p>
    <w:p w14:paraId="756C3D42" w14:textId="77777777" w:rsidR="00733B44" w:rsidRDefault="00733B44" w:rsidP="00733B44">
      <w:pPr>
        <w:pStyle w:val="Geenafstand"/>
      </w:pPr>
    </w:p>
    <w:p w14:paraId="651D6267" w14:textId="54770EAD" w:rsidR="008B1A79" w:rsidRDefault="00733B44" w:rsidP="00733B44">
      <w:pPr>
        <w:pStyle w:val="Geenafstand"/>
      </w:pPr>
      <w:r>
        <w:t xml:space="preserve">“Petri brief” in regel 7 van de derde strofe verwijst naar </w:t>
      </w:r>
      <w:hyperlink r:id="rId8" w:anchor="1" w:history="1">
        <w:r w:rsidRPr="00637E8D">
          <w:rPr>
            <w:rStyle w:val="Hyperlink"/>
          </w:rPr>
          <w:t>1 Petrus, hoofdstuk 3</w:t>
        </w:r>
      </w:hyperlink>
      <w:r>
        <w:t xml:space="preserve">, in de laatste regel wordt verwezen naar deze </w:t>
      </w:r>
      <w:hyperlink r:id="rId9" w:history="1">
        <w:r w:rsidRPr="00DC77A1">
          <w:rPr>
            <w:rStyle w:val="Hyperlink"/>
          </w:rPr>
          <w:t>Bijbelpassage</w:t>
        </w:r>
      </w:hyperlink>
      <w:r>
        <w:t>.(vers 10-</w:t>
      </w:r>
    </w:p>
    <w:sectPr w:rsidR="008B1A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A6D53" w14:textId="77777777" w:rsidR="00EB5D40" w:rsidRDefault="00EB5D40" w:rsidP="00733B44">
      <w:pPr>
        <w:spacing w:after="0" w:line="240" w:lineRule="auto"/>
      </w:pPr>
      <w:r>
        <w:separator/>
      </w:r>
    </w:p>
  </w:endnote>
  <w:endnote w:type="continuationSeparator" w:id="0">
    <w:p w14:paraId="1E9CE11B" w14:textId="77777777" w:rsidR="00EB5D40" w:rsidRDefault="00EB5D40" w:rsidP="00733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0A21D" w14:textId="77777777" w:rsidR="00EB5D40" w:rsidRDefault="00EB5D40" w:rsidP="00733B44">
      <w:pPr>
        <w:spacing w:after="0" w:line="240" w:lineRule="auto"/>
      </w:pPr>
      <w:r>
        <w:separator/>
      </w:r>
    </w:p>
  </w:footnote>
  <w:footnote w:type="continuationSeparator" w:id="0">
    <w:p w14:paraId="51E62E17" w14:textId="77777777" w:rsidR="00EB5D40" w:rsidRDefault="00EB5D40" w:rsidP="00733B44">
      <w:pPr>
        <w:spacing w:after="0" w:line="240" w:lineRule="auto"/>
      </w:pPr>
      <w:r>
        <w:continuationSeparator/>
      </w:r>
    </w:p>
  </w:footnote>
  <w:footnote w:id="1">
    <w:p w14:paraId="767AECDE" w14:textId="77777777" w:rsidR="00733B44" w:rsidRDefault="00733B44" w:rsidP="00733B44">
      <w:pPr>
        <w:pStyle w:val="Voetnoottekst"/>
      </w:pPr>
      <w:r>
        <w:rPr>
          <w:rStyle w:val="Voetnootmarkering"/>
        </w:rPr>
        <w:footnoteRef/>
      </w:r>
      <w:r>
        <w:t xml:space="preserve"> Men denke aan “</w:t>
      </w:r>
      <w:r w:rsidRPr="00E07D9C">
        <w:t xml:space="preserve">Die Leiden des </w:t>
      </w:r>
      <w:proofErr w:type="spellStart"/>
      <w:r w:rsidRPr="00E07D9C">
        <w:t>jungen</w:t>
      </w:r>
      <w:proofErr w:type="spellEnd"/>
      <w:r w:rsidRPr="00E07D9C">
        <w:t xml:space="preserve"> </w:t>
      </w:r>
      <w:proofErr w:type="spellStart"/>
      <w:r w:rsidRPr="00E07D9C">
        <w:t>Werthers</w:t>
      </w:r>
      <w:proofErr w:type="spellEnd"/>
      <w:r>
        <w:t>” van Goethe, “</w:t>
      </w:r>
      <w:r w:rsidRPr="00E07D9C">
        <w:t xml:space="preserve">Les Liaisons </w:t>
      </w:r>
      <w:proofErr w:type="spellStart"/>
      <w:r w:rsidRPr="00E07D9C">
        <w:t>Dangereuses</w:t>
      </w:r>
      <w:proofErr w:type="spellEnd"/>
      <w:r>
        <w:t xml:space="preserve">” van </w:t>
      </w:r>
      <w:proofErr w:type="spellStart"/>
      <w:r>
        <w:t>Choderlos</w:t>
      </w:r>
      <w:proofErr w:type="spellEnd"/>
      <w:r>
        <w:t xml:space="preserve"> de </w:t>
      </w:r>
      <w:proofErr w:type="spellStart"/>
      <w:r>
        <w:t>Laclos</w:t>
      </w:r>
      <w:proofErr w:type="spellEnd"/>
      <w:r>
        <w:t xml:space="preserve"> en “</w:t>
      </w:r>
      <w:proofErr w:type="spellStart"/>
      <w:r w:rsidRPr="00E07D9C">
        <w:t>Frankenstein</w:t>
      </w:r>
      <w:r>
        <w:t>”van</w:t>
      </w:r>
      <w:proofErr w:type="spellEnd"/>
      <w:r>
        <w:t xml:space="preserve"> Mary Shelley.</w:t>
      </w:r>
    </w:p>
  </w:footnote>
  <w:footnote w:id="2">
    <w:p w14:paraId="64DE01AC" w14:textId="77777777" w:rsidR="00733B44" w:rsidRDefault="00733B44" w:rsidP="00733B44">
      <w:pPr>
        <w:pStyle w:val="Voetnoottekst"/>
      </w:pPr>
      <w:r>
        <w:rPr>
          <w:rStyle w:val="Voetnootmarkering"/>
        </w:rPr>
        <w:footnoteRef/>
      </w:r>
      <w:r>
        <w:t xml:space="preserve"> </w:t>
      </w:r>
      <w:proofErr w:type="spellStart"/>
      <w:r>
        <w:t>Ïn</w:t>
      </w:r>
      <w:proofErr w:type="spellEnd"/>
      <w:r>
        <w:t xml:space="preserve"> de 20</w:t>
      </w:r>
      <w:r w:rsidRPr="00875BE7">
        <w:rPr>
          <w:vertAlign w:val="superscript"/>
        </w:rPr>
        <w:t>e</w:t>
      </w:r>
      <w:r>
        <w:t xml:space="preserve"> eeuw o.a. door </w:t>
      </w:r>
      <w:r w:rsidRPr="00875BE7">
        <w:t>A</w:t>
      </w:r>
      <w:r>
        <w:t>ndré</w:t>
      </w:r>
      <w:r w:rsidRPr="00875BE7">
        <w:t xml:space="preserve"> </w:t>
      </w:r>
      <w:proofErr w:type="spellStart"/>
      <w:r w:rsidRPr="00875BE7">
        <w:t>Gide</w:t>
      </w:r>
      <w:proofErr w:type="spellEnd"/>
      <w:r w:rsidRPr="00875BE7">
        <w:t xml:space="preserve"> </w:t>
      </w:r>
      <w:r>
        <w:t>“</w:t>
      </w:r>
      <w:proofErr w:type="spellStart"/>
      <w:r w:rsidRPr="00875BE7">
        <w:t>L’école</w:t>
      </w:r>
      <w:proofErr w:type="spellEnd"/>
      <w:r w:rsidRPr="00875BE7">
        <w:t xml:space="preserve"> des </w:t>
      </w:r>
      <w:proofErr w:type="spellStart"/>
      <w:r w:rsidRPr="00875BE7">
        <w:t>femmes</w:t>
      </w:r>
      <w:proofErr w:type="spellEnd"/>
      <w:r>
        <w:t>”</w:t>
      </w:r>
      <w:r w:rsidRPr="00875BE7">
        <w:t xml:space="preserve"> (1929), Hella Haasse </w:t>
      </w:r>
      <w:r>
        <w:t>“</w:t>
      </w:r>
      <w:r w:rsidRPr="00875BE7">
        <w:t>Een gevaarlijke verhouding</w:t>
      </w:r>
      <w:r>
        <w:t>”</w:t>
      </w:r>
      <w:r w:rsidRPr="00875BE7">
        <w:t xml:space="preserve"> (1976) en A</w:t>
      </w:r>
      <w:r>
        <w:t>lice</w:t>
      </w:r>
      <w:r w:rsidRPr="00875BE7">
        <w:t xml:space="preserve"> Walker </w:t>
      </w:r>
      <w:r>
        <w:t>“</w:t>
      </w:r>
      <w:r w:rsidRPr="00875BE7">
        <w:t xml:space="preserve">The </w:t>
      </w:r>
      <w:proofErr w:type="spellStart"/>
      <w:r w:rsidRPr="00875BE7">
        <w:t>color</w:t>
      </w:r>
      <w:proofErr w:type="spellEnd"/>
      <w:r w:rsidRPr="00875BE7">
        <w:t xml:space="preserve"> </w:t>
      </w:r>
      <w:proofErr w:type="spellStart"/>
      <w:r w:rsidRPr="00875BE7">
        <w:t>purple</w:t>
      </w:r>
      <w:proofErr w:type="spellEnd"/>
      <w:r w:rsidRPr="00875BE7">
        <w:t xml:space="preserve"> (1982).</w:t>
      </w:r>
    </w:p>
  </w:footnote>
  <w:footnote w:id="3">
    <w:p w14:paraId="33F31B98" w14:textId="77777777" w:rsidR="00733B44" w:rsidRDefault="00733B44" w:rsidP="00733B44">
      <w:pPr>
        <w:pStyle w:val="Voetnoottekst"/>
      </w:pPr>
      <w:r>
        <w:rPr>
          <w:rStyle w:val="Voetnootmarkering"/>
        </w:rPr>
        <w:footnoteRef/>
      </w:r>
      <w:r>
        <w:t xml:space="preserve"> Met name die van </w:t>
      </w:r>
      <w:hyperlink r:id="rId1" w:history="1">
        <w:r w:rsidRPr="00CE41EE">
          <w:rPr>
            <w:rStyle w:val="Hyperlink"/>
          </w:rPr>
          <w:t>Kant</w:t>
        </w:r>
      </w:hyperlink>
      <w:r>
        <w:t xml:space="preserve"> die in die periode opgang maakte.</w:t>
      </w:r>
    </w:p>
  </w:footnote>
  <w:footnote w:id="4">
    <w:p w14:paraId="10767694" w14:textId="77777777" w:rsidR="00733B44" w:rsidRDefault="00733B44" w:rsidP="00733B44">
      <w:pPr>
        <w:pStyle w:val="Voetnoottekst"/>
      </w:pPr>
      <w:r>
        <w:rPr>
          <w:rStyle w:val="Voetnootmarkering"/>
        </w:rPr>
        <w:footnoteRef/>
      </w:r>
      <w:r>
        <w:t xml:space="preserve"> Over hen is veel gepubliceerd: van de meer recente publicaties noem ik “Wolff en Deken” (1987, </w:t>
      </w:r>
      <w:proofErr w:type="spellStart"/>
      <w:r>
        <w:t>Buijnsters</w:t>
      </w:r>
      <w:proofErr w:type="spellEnd"/>
      <w:r>
        <w:t>) en “Een vrije geest”(2024, Mathijsen)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B44"/>
    <w:rsid w:val="0029705C"/>
    <w:rsid w:val="005A018F"/>
    <w:rsid w:val="006F004E"/>
    <w:rsid w:val="00733B44"/>
    <w:rsid w:val="008716AD"/>
    <w:rsid w:val="008B1A79"/>
    <w:rsid w:val="00D60E22"/>
    <w:rsid w:val="00EB5D4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3FBE9"/>
  <w15:chartTrackingRefBased/>
  <w15:docId w15:val="{040CFA4B-6852-425B-A433-1968616D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33B44"/>
  </w:style>
  <w:style w:type="paragraph" w:styleId="Kop1">
    <w:name w:val="heading 1"/>
    <w:basedOn w:val="Standaard"/>
    <w:next w:val="Standaard"/>
    <w:link w:val="Kop1Char"/>
    <w:uiPriority w:val="9"/>
    <w:qFormat/>
    <w:rsid w:val="00733B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33B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33B4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33B4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33B4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33B4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33B4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33B4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33B4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33B4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33B4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33B4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33B4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33B4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33B4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33B4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33B4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33B44"/>
    <w:rPr>
      <w:rFonts w:eastAsiaTheme="majorEastAsia" w:cstheme="majorBidi"/>
      <w:color w:val="272727" w:themeColor="text1" w:themeTint="D8"/>
    </w:rPr>
  </w:style>
  <w:style w:type="paragraph" w:styleId="Titel">
    <w:name w:val="Title"/>
    <w:basedOn w:val="Standaard"/>
    <w:next w:val="Standaard"/>
    <w:link w:val="TitelChar"/>
    <w:uiPriority w:val="10"/>
    <w:qFormat/>
    <w:rsid w:val="00733B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33B4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33B4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33B4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33B4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33B44"/>
    <w:rPr>
      <w:i/>
      <w:iCs/>
      <w:color w:val="404040" w:themeColor="text1" w:themeTint="BF"/>
    </w:rPr>
  </w:style>
  <w:style w:type="paragraph" w:styleId="Lijstalinea">
    <w:name w:val="List Paragraph"/>
    <w:basedOn w:val="Standaard"/>
    <w:uiPriority w:val="34"/>
    <w:qFormat/>
    <w:rsid w:val="00733B44"/>
    <w:pPr>
      <w:ind w:left="720"/>
      <w:contextualSpacing/>
    </w:pPr>
  </w:style>
  <w:style w:type="character" w:styleId="Intensievebenadrukking">
    <w:name w:val="Intense Emphasis"/>
    <w:basedOn w:val="Standaardalinea-lettertype"/>
    <w:uiPriority w:val="21"/>
    <w:qFormat/>
    <w:rsid w:val="00733B44"/>
    <w:rPr>
      <w:i/>
      <w:iCs/>
      <w:color w:val="0F4761" w:themeColor="accent1" w:themeShade="BF"/>
    </w:rPr>
  </w:style>
  <w:style w:type="paragraph" w:styleId="Duidelijkcitaat">
    <w:name w:val="Intense Quote"/>
    <w:basedOn w:val="Standaard"/>
    <w:next w:val="Standaard"/>
    <w:link w:val="DuidelijkcitaatChar"/>
    <w:uiPriority w:val="30"/>
    <w:qFormat/>
    <w:rsid w:val="00733B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33B44"/>
    <w:rPr>
      <w:i/>
      <w:iCs/>
      <w:color w:val="0F4761" w:themeColor="accent1" w:themeShade="BF"/>
    </w:rPr>
  </w:style>
  <w:style w:type="character" w:styleId="Intensieveverwijzing">
    <w:name w:val="Intense Reference"/>
    <w:basedOn w:val="Standaardalinea-lettertype"/>
    <w:uiPriority w:val="32"/>
    <w:qFormat/>
    <w:rsid w:val="00733B44"/>
    <w:rPr>
      <w:b/>
      <w:bCs/>
      <w:smallCaps/>
      <w:color w:val="0F4761" w:themeColor="accent1" w:themeShade="BF"/>
      <w:spacing w:val="5"/>
    </w:rPr>
  </w:style>
  <w:style w:type="paragraph" w:styleId="Geenafstand">
    <w:name w:val="No Spacing"/>
    <w:uiPriority w:val="1"/>
    <w:qFormat/>
    <w:rsid w:val="00733B44"/>
    <w:pPr>
      <w:spacing w:after="0" w:line="240" w:lineRule="auto"/>
    </w:pPr>
  </w:style>
  <w:style w:type="paragraph" w:styleId="Voetnoottekst">
    <w:name w:val="footnote text"/>
    <w:basedOn w:val="Standaard"/>
    <w:link w:val="VoetnoottekstChar"/>
    <w:uiPriority w:val="99"/>
    <w:semiHidden/>
    <w:unhideWhenUsed/>
    <w:rsid w:val="00733B4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33B44"/>
    <w:rPr>
      <w:sz w:val="20"/>
      <w:szCs w:val="20"/>
    </w:rPr>
  </w:style>
  <w:style w:type="character" w:styleId="Voetnootmarkering">
    <w:name w:val="footnote reference"/>
    <w:basedOn w:val="Standaardalinea-lettertype"/>
    <w:uiPriority w:val="99"/>
    <w:semiHidden/>
    <w:unhideWhenUsed/>
    <w:rsid w:val="00733B44"/>
    <w:rPr>
      <w:vertAlign w:val="superscript"/>
    </w:rPr>
  </w:style>
  <w:style w:type="character" w:styleId="Hyperlink">
    <w:name w:val="Hyperlink"/>
    <w:basedOn w:val="Standaardalinea-lettertype"/>
    <w:uiPriority w:val="99"/>
    <w:unhideWhenUsed/>
    <w:rsid w:val="00733B4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jbel-statenvertaling.com/statenvertaling/1-petrus/3/" TargetMode="External"/><Relationship Id="rId3" Type="http://schemas.openxmlformats.org/officeDocument/2006/relationships/webSettings" Target="webSettings.xml"/><Relationship Id="rId7" Type="http://schemas.openxmlformats.org/officeDocument/2006/relationships/hyperlink" Target="https://www.dbnl.org/tekst/dela012alge01_01/dela012alge01_01_02422.ph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tatenvertaling.net/bijbel/2sam/9.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ilosofie.nl/filosofen/immanuel-kan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408</Words>
  <Characters>2246</Characters>
  <Application>Microsoft Office Word</Application>
  <DocSecurity>0</DocSecurity>
  <Lines>18</Lines>
  <Paragraphs>5</Paragraphs>
  <ScaleCrop>false</ScaleCrop>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2025-08-22T10:59:00Z</dcterms:created>
  <dcterms:modified xsi:type="dcterms:W3CDTF">2025-08-22T11:03:00Z</dcterms:modified>
</cp:coreProperties>
</file>